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3D1D" w:rsidRPr="000765B3" w:rsidRDefault="007D3D1D" w:rsidP="007D3D1D">
      <w:pPr>
        <w:pStyle w:val="Default"/>
        <w:snapToGrid w:val="0"/>
        <w:jc w:val="right"/>
        <w:rPr>
          <w:sz w:val="20"/>
          <w:szCs w:val="20"/>
        </w:rPr>
      </w:pPr>
      <w:r w:rsidRPr="000765B3">
        <w:rPr>
          <w:i/>
          <w:iCs/>
          <w:sz w:val="20"/>
          <w:szCs w:val="20"/>
        </w:rPr>
        <w:t>20</w:t>
      </w:r>
      <w:r w:rsidR="0006759D">
        <w:rPr>
          <w:i/>
          <w:iCs/>
          <w:sz w:val="20"/>
          <w:szCs w:val="20"/>
        </w:rPr>
        <w:t>23</w:t>
      </w:r>
      <w:r w:rsidRPr="000765B3">
        <w:rPr>
          <w:i/>
          <w:iCs/>
          <w:sz w:val="20"/>
          <w:szCs w:val="20"/>
        </w:rPr>
        <w:t xml:space="preserve"> ISOMRM</w:t>
      </w:r>
      <w:r w:rsidR="00C07161">
        <w:rPr>
          <w:rFonts w:hint="eastAsia"/>
          <w:i/>
          <w:iCs/>
          <w:sz w:val="20"/>
          <w:szCs w:val="20"/>
        </w:rPr>
        <w:t xml:space="preserve"> &amp; BCRS</w:t>
      </w:r>
      <w:r w:rsidRPr="000765B3">
        <w:rPr>
          <w:i/>
          <w:iCs/>
          <w:sz w:val="20"/>
          <w:szCs w:val="20"/>
        </w:rPr>
        <w:t xml:space="preserve"> </w:t>
      </w:r>
    </w:p>
    <w:p w:rsidR="007D3D1D" w:rsidRPr="000765B3" w:rsidRDefault="007D3D1D" w:rsidP="007D3D1D">
      <w:pPr>
        <w:snapToGrid w:val="0"/>
        <w:jc w:val="right"/>
        <w:rPr>
          <w:rFonts w:eastAsia="AR MingtiM BIG-5"/>
          <w:b/>
          <w:lang w:eastAsia="zh-TW"/>
        </w:rPr>
      </w:pPr>
      <w:r w:rsidRPr="000765B3">
        <w:rPr>
          <w:rFonts w:eastAsia="新細明體"/>
          <w:i/>
          <w:iCs/>
          <w:sz w:val="20"/>
          <w:szCs w:val="20"/>
          <w:lang w:eastAsia="zh-TW"/>
        </w:rPr>
        <w:t>Aug</w:t>
      </w:r>
      <w:r w:rsidR="0006759D">
        <w:rPr>
          <w:rFonts w:eastAsia="新細明體"/>
          <w:i/>
          <w:iCs/>
          <w:sz w:val="20"/>
          <w:szCs w:val="20"/>
          <w:lang w:eastAsia="zh-TW"/>
        </w:rPr>
        <w:t>.</w:t>
      </w:r>
      <w:r w:rsidRPr="000765B3">
        <w:rPr>
          <w:i/>
          <w:iCs/>
          <w:sz w:val="20"/>
          <w:szCs w:val="20"/>
        </w:rPr>
        <w:t xml:space="preserve"> </w:t>
      </w:r>
      <w:r w:rsidR="0006759D">
        <w:rPr>
          <w:rFonts w:eastAsia="新細明體"/>
          <w:i/>
          <w:iCs/>
          <w:sz w:val="20"/>
          <w:szCs w:val="20"/>
          <w:lang w:eastAsia="zh-TW"/>
        </w:rPr>
        <w:t>31</w:t>
      </w:r>
      <w:r w:rsidRPr="000765B3">
        <w:rPr>
          <w:i/>
          <w:iCs/>
          <w:sz w:val="20"/>
          <w:szCs w:val="20"/>
        </w:rPr>
        <w:t xml:space="preserve"> </w:t>
      </w:r>
      <w:r w:rsidR="0006759D">
        <w:rPr>
          <w:i/>
          <w:iCs/>
          <w:sz w:val="20"/>
          <w:szCs w:val="20"/>
        </w:rPr>
        <w:t>–</w:t>
      </w:r>
      <w:r w:rsidRPr="000765B3">
        <w:rPr>
          <w:i/>
          <w:iCs/>
          <w:sz w:val="20"/>
          <w:szCs w:val="20"/>
        </w:rPr>
        <w:t xml:space="preserve"> </w:t>
      </w:r>
      <w:r w:rsidR="0006759D">
        <w:rPr>
          <w:i/>
          <w:iCs/>
          <w:sz w:val="20"/>
          <w:szCs w:val="20"/>
        </w:rPr>
        <w:t xml:space="preserve">Sep. </w:t>
      </w:r>
      <w:r w:rsidRPr="000765B3">
        <w:rPr>
          <w:rFonts w:eastAsia="新細明體"/>
          <w:i/>
          <w:iCs/>
          <w:sz w:val="20"/>
          <w:szCs w:val="20"/>
          <w:lang w:eastAsia="zh-TW"/>
        </w:rPr>
        <w:t>3</w:t>
      </w:r>
      <w:r w:rsidRPr="000765B3">
        <w:rPr>
          <w:i/>
          <w:iCs/>
          <w:sz w:val="20"/>
          <w:szCs w:val="20"/>
        </w:rPr>
        <w:t xml:space="preserve"> 20</w:t>
      </w:r>
      <w:r w:rsidR="00AC15B9" w:rsidRPr="00AC15B9">
        <w:rPr>
          <w:rFonts w:hint="eastAsia"/>
          <w:i/>
          <w:iCs/>
          <w:sz w:val="20"/>
          <w:szCs w:val="20"/>
        </w:rPr>
        <w:t>23</w:t>
      </w:r>
      <w:r w:rsidRPr="000765B3">
        <w:rPr>
          <w:i/>
          <w:iCs/>
          <w:sz w:val="20"/>
          <w:szCs w:val="20"/>
        </w:rPr>
        <w:t xml:space="preserve">, </w:t>
      </w:r>
      <w:r w:rsidRPr="000765B3">
        <w:rPr>
          <w:rFonts w:eastAsia="新細明體"/>
          <w:i/>
          <w:iCs/>
          <w:sz w:val="20"/>
          <w:szCs w:val="20"/>
          <w:lang w:eastAsia="zh-TW"/>
        </w:rPr>
        <w:t>Taipei</w:t>
      </w:r>
      <w:r w:rsidRPr="000765B3">
        <w:rPr>
          <w:i/>
          <w:iCs/>
          <w:sz w:val="20"/>
          <w:szCs w:val="20"/>
        </w:rPr>
        <w:t>, Taiwan</w:t>
      </w:r>
    </w:p>
    <w:p w:rsidR="009E1CC0" w:rsidRPr="00EC20D1" w:rsidRDefault="0006759D" w:rsidP="009E1CC0">
      <w:pPr>
        <w:spacing w:beforeLines="50" w:before="180"/>
        <w:jc w:val="center"/>
        <w:rPr>
          <w:rFonts w:eastAsia="Malgun Gothic"/>
          <w:b/>
          <w:shd w:val="clear" w:color="auto" w:fill="FFFFFF"/>
          <w:lang w:eastAsia="ko-KR"/>
        </w:rPr>
      </w:pPr>
      <w:r w:rsidRPr="0006759D">
        <w:rPr>
          <w:b/>
          <w:shd w:val="clear" w:color="auto" w:fill="FFFFFF"/>
        </w:rPr>
        <w:t xml:space="preserve">LMP1 gene detection through polymerase chain reaction in microfluidic chip combined with </w:t>
      </w:r>
      <w:proofErr w:type="spellStart"/>
      <w:r w:rsidRPr="0006759D">
        <w:rPr>
          <w:b/>
          <w:shd w:val="clear" w:color="auto" w:fill="FFFFFF"/>
        </w:rPr>
        <w:t>nanoslit</w:t>
      </w:r>
      <w:proofErr w:type="spellEnd"/>
      <w:r w:rsidRPr="0006759D">
        <w:rPr>
          <w:b/>
          <w:shd w:val="clear" w:color="auto" w:fill="FFFFFF"/>
        </w:rPr>
        <w:t xml:space="preserve"> surface plasmon resonance sensor</w:t>
      </w:r>
    </w:p>
    <w:p w:rsidR="0006759D" w:rsidRDefault="0006759D" w:rsidP="009E1CC0">
      <w:pPr>
        <w:spacing w:beforeLines="50" w:before="180"/>
        <w:jc w:val="center"/>
        <w:rPr>
          <w:sz w:val="22"/>
          <w:szCs w:val="22"/>
          <w:shd w:val="clear" w:color="auto" w:fill="FFFFFF"/>
          <w:vertAlign w:val="superscript"/>
        </w:rPr>
      </w:pPr>
      <w:r w:rsidRPr="00C07161">
        <w:rPr>
          <w:sz w:val="22"/>
          <w:szCs w:val="22"/>
          <w:u w:val="single"/>
          <w:shd w:val="clear" w:color="auto" w:fill="FFFFFF"/>
        </w:rPr>
        <w:t>Han-Yun Hsieh</w:t>
      </w:r>
      <w:r w:rsidRPr="00C07161">
        <w:rPr>
          <w:sz w:val="22"/>
          <w:szCs w:val="22"/>
          <w:u w:val="single"/>
          <w:shd w:val="clear" w:color="auto" w:fill="FFFFFF"/>
          <w:vertAlign w:val="superscript"/>
        </w:rPr>
        <w:t>1</w:t>
      </w:r>
      <w:r w:rsidRPr="0006759D">
        <w:rPr>
          <w:sz w:val="22"/>
          <w:szCs w:val="22"/>
          <w:shd w:val="clear" w:color="auto" w:fill="FFFFFF"/>
        </w:rPr>
        <w:t>, Ray Chang</w:t>
      </w:r>
      <w:r w:rsidRPr="0006759D">
        <w:rPr>
          <w:sz w:val="22"/>
          <w:szCs w:val="22"/>
          <w:shd w:val="clear" w:color="auto" w:fill="FFFFFF"/>
          <w:vertAlign w:val="superscript"/>
        </w:rPr>
        <w:t>2</w:t>
      </w:r>
      <w:r w:rsidRPr="0006759D">
        <w:rPr>
          <w:sz w:val="22"/>
          <w:szCs w:val="22"/>
          <w:shd w:val="clear" w:color="auto" w:fill="FFFFFF"/>
        </w:rPr>
        <w:t>, Yung-Yu Huang</w:t>
      </w:r>
      <w:r w:rsidRPr="0006759D">
        <w:rPr>
          <w:sz w:val="22"/>
          <w:szCs w:val="22"/>
          <w:shd w:val="clear" w:color="auto" w:fill="FFFFFF"/>
          <w:vertAlign w:val="superscript"/>
        </w:rPr>
        <w:t>1</w:t>
      </w:r>
      <w:r w:rsidRPr="0006759D">
        <w:rPr>
          <w:sz w:val="22"/>
          <w:szCs w:val="22"/>
          <w:shd w:val="clear" w:color="auto" w:fill="FFFFFF"/>
        </w:rPr>
        <w:t>, Pei-</w:t>
      </w:r>
      <w:proofErr w:type="spellStart"/>
      <w:r w:rsidRPr="0006759D">
        <w:rPr>
          <w:sz w:val="22"/>
          <w:szCs w:val="22"/>
          <w:shd w:val="clear" w:color="auto" w:fill="FFFFFF"/>
        </w:rPr>
        <w:t>Kuen</w:t>
      </w:r>
      <w:proofErr w:type="spellEnd"/>
      <w:r w:rsidRPr="0006759D">
        <w:rPr>
          <w:sz w:val="22"/>
          <w:szCs w:val="22"/>
          <w:shd w:val="clear" w:color="auto" w:fill="FFFFFF"/>
        </w:rPr>
        <w:t xml:space="preserve"> Wei</w:t>
      </w:r>
      <w:r w:rsidRPr="0006759D">
        <w:rPr>
          <w:sz w:val="22"/>
          <w:szCs w:val="22"/>
          <w:shd w:val="clear" w:color="auto" w:fill="FFFFFF"/>
          <w:vertAlign w:val="superscript"/>
        </w:rPr>
        <w:t>3</w:t>
      </w:r>
      <w:r>
        <w:rPr>
          <w:sz w:val="22"/>
          <w:szCs w:val="22"/>
          <w:shd w:val="clear" w:color="auto" w:fill="FFFFFF"/>
        </w:rPr>
        <w:t xml:space="preserve">, </w:t>
      </w:r>
      <w:r w:rsidRPr="0006759D">
        <w:rPr>
          <w:sz w:val="22"/>
          <w:szCs w:val="22"/>
          <w:shd w:val="clear" w:color="auto" w:fill="FFFFFF"/>
        </w:rPr>
        <w:t>Horn-</w:t>
      </w:r>
      <w:proofErr w:type="spellStart"/>
      <w:r w:rsidRPr="0006759D">
        <w:rPr>
          <w:sz w:val="22"/>
          <w:szCs w:val="22"/>
          <w:shd w:val="clear" w:color="auto" w:fill="FFFFFF"/>
        </w:rPr>
        <w:t>Jiunn</w:t>
      </w:r>
      <w:proofErr w:type="spellEnd"/>
      <w:r w:rsidRPr="0006759D">
        <w:rPr>
          <w:sz w:val="22"/>
          <w:szCs w:val="22"/>
          <w:shd w:val="clear" w:color="auto" w:fill="FFFFFF"/>
        </w:rPr>
        <w:t xml:space="preserve"> Sheen</w:t>
      </w:r>
      <w:r w:rsidRPr="0006759D">
        <w:rPr>
          <w:sz w:val="22"/>
          <w:szCs w:val="22"/>
          <w:shd w:val="clear" w:color="auto" w:fill="FFFFFF"/>
          <w:vertAlign w:val="superscript"/>
        </w:rPr>
        <w:t>1</w:t>
      </w:r>
      <w:r w:rsidRPr="0006759D">
        <w:rPr>
          <w:sz w:val="22"/>
          <w:szCs w:val="22"/>
          <w:shd w:val="clear" w:color="auto" w:fill="FFFFFF"/>
        </w:rPr>
        <w:t>, Yu-</w:t>
      </w:r>
      <w:proofErr w:type="spellStart"/>
      <w:r w:rsidRPr="0006759D">
        <w:rPr>
          <w:sz w:val="22"/>
          <w:szCs w:val="22"/>
          <w:shd w:val="clear" w:color="auto" w:fill="FFFFFF"/>
        </w:rPr>
        <w:t>Jui</w:t>
      </w:r>
      <w:proofErr w:type="spellEnd"/>
      <w:r w:rsidRPr="0006759D">
        <w:rPr>
          <w:sz w:val="22"/>
          <w:szCs w:val="22"/>
          <w:shd w:val="clear" w:color="auto" w:fill="FFFFFF"/>
        </w:rPr>
        <w:t xml:space="preserve"> Fan</w:t>
      </w:r>
      <w:proofErr w:type="gramStart"/>
      <w:r w:rsidRPr="0006759D">
        <w:rPr>
          <w:sz w:val="22"/>
          <w:szCs w:val="22"/>
          <w:shd w:val="clear" w:color="auto" w:fill="FFFFFF"/>
          <w:vertAlign w:val="superscript"/>
        </w:rPr>
        <w:t>2</w:t>
      </w:r>
      <w:r>
        <w:rPr>
          <w:sz w:val="22"/>
          <w:szCs w:val="22"/>
          <w:shd w:val="clear" w:color="auto" w:fill="FFFFFF"/>
          <w:vertAlign w:val="superscript"/>
        </w:rPr>
        <w:t>,*</w:t>
      </w:r>
      <w:proofErr w:type="gramEnd"/>
    </w:p>
    <w:p w:rsidR="001C6A19" w:rsidRPr="0006759D" w:rsidRDefault="001C6A19" w:rsidP="001C6A19">
      <w:pPr>
        <w:spacing w:beforeLines="50" w:before="180"/>
        <w:jc w:val="center"/>
        <w:rPr>
          <w:sz w:val="22"/>
          <w:szCs w:val="22"/>
          <w:shd w:val="clear" w:color="auto" w:fill="FFFFFF"/>
        </w:rPr>
      </w:pPr>
      <w:r>
        <w:rPr>
          <w:rFonts w:asciiTheme="minorEastAsia" w:eastAsiaTheme="minorEastAsia" w:hAnsiTheme="minorEastAsia" w:hint="eastAsia"/>
          <w:sz w:val="22"/>
          <w:szCs w:val="22"/>
          <w:shd w:val="clear" w:color="auto" w:fill="FFFFFF"/>
          <w:lang w:eastAsia="zh-TW"/>
        </w:rPr>
        <w:t>(</w:t>
      </w:r>
      <w:r w:rsidRPr="00C07161">
        <w:rPr>
          <w:sz w:val="22"/>
          <w:szCs w:val="22"/>
          <w:shd w:val="clear" w:color="auto" w:fill="FFFFFF"/>
        </w:rPr>
        <w:t xml:space="preserve">Underline the name </w:t>
      </w:r>
      <w:r>
        <w:rPr>
          <w:sz w:val="22"/>
          <w:szCs w:val="22"/>
          <w:shd w:val="clear" w:color="auto" w:fill="FFFFFF"/>
        </w:rPr>
        <w:t>of</w:t>
      </w:r>
      <w:r w:rsidRPr="00C07161">
        <w:rPr>
          <w:sz w:val="22"/>
          <w:szCs w:val="22"/>
          <w:shd w:val="clear" w:color="auto" w:fill="FFFFFF"/>
        </w:rPr>
        <w:t xml:space="preserve"> the presenting author</w:t>
      </w:r>
      <w:r>
        <w:rPr>
          <w:sz w:val="22"/>
          <w:szCs w:val="22"/>
          <w:shd w:val="clear" w:color="auto" w:fill="FFFFFF"/>
        </w:rPr>
        <w:t xml:space="preserve">. </w:t>
      </w:r>
      <w:r w:rsidRPr="00A66521">
        <w:rPr>
          <w:sz w:val="22"/>
          <w:szCs w:val="22"/>
          <w:shd w:val="clear" w:color="auto" w:fill="FFFFFF"/>
        </w:rPr>
        <w:t xml:space="preserve">The corresponding author(s) should be marked with an asterisk in the author </w:t>
      </w:r>
      <w:r>
        <w:rPr>
          <w:sz w:val="22"/>
          <w:szCs w:val="22"/>
          <w:shd w:val="clear" w:color="auto" w:fill="FFFFFF"/>
        </w:rPr>
        <w:t>list.)</w:t>
      </w:r>
    </w:p>
    <w:p w:rsidR="0006759D" w:rsidRPr="001C6A19" w:rsidRDefault="0006759D" w:rsidP="00841986">
      <w:pPr>
        <w:jc w:val="center"/>
        <w:rPr>
          <w:sz w:val="22"/>
          <w:szCs w:val="22"/>
          <w:u w:val="single"/>
          <w:shd w:val="clear" w:color="auto" w:fill="FFFFFF"/>
        </w:rPr>
      </w:pPr>
    </w:p>
    <w:p w:rsidR="0006759D" w:rsidRPr="0006759D" w:rsidRDefault="0006759D" w:rsidP="0006759D">
      <w:pPr>
        <w:jc w:val="center"/>
        <w:rPr>
          <w:sz w:val="21"/>
          <w:szCs w:val="21"/>
          <w:shd w:val="clear" w:color="auto" w:fill="FFFFFF"/>
        </w:rPr>
      </w:pPr>
      <w:r w:rsidRPr="0006759D">
        <w:rPr>
          <w:sz w:val="21"/>
          <w:szCs w:val="21"/>
          <w:shd w:val="clear" w:color="auto" w:fill="FFFFFF"/>
          <w:vertAlign w:val="superscript"/>
        </w:rPr>
        <w:t>1</w:t>
      </w:r>
      <w:r w:rsidRPr="0006759D">
        <w:rPr>
          <w:sz w:val="21"/>
          <w:szCs w:val="21"/>
          <w:shd w:val="clear" w:color="auto" w:fill="FFFFFF"/>
        </w:rPr>
        <w:t>Institute of Applied Mechanics, National Taiwan University, Taipei, Taiwan</w:t>
      </w:r>
    </w:p>
    <w:p w:rsidR="0006759D" w:rsidRPr="0006759D" w:rsidRDefault="0006759D" w:rsidP="0006759D">
      <w:pPr>
        <w:jc w:val="center"/>
        <w:rPr>
          <w:sz w:val="21"/>
          <w:szCs w:val="21"/>
          <w:shd w:val="clear" w:color="auto" w:fill="FFFFFF"/>
        </w:rPr>
      </w:pPr>
      <w:r w:rsidRPr="0006759D">
        <w:rPr>
          <w:sz w:val="21"/>
          <w:szCs w:val="21"/>
          <w:shd w:val="clear" w:color="auto" w:fill="FFFFFF"/>
          <w:vertAlign w:val="superscript"/>
        </w:rPr>
        <w:t>2</w:t>
      </w:r>
      <w:r w:rsidRPr="0006759D">
        <w:rPr>
          <w:sz w:val="21"/>
          <w:szCs w:val="21"/>
          <w:shd w:val="clear" w:color="auto" w:fill="FFFFFF"/>
        </w:rPr>
        <w:t>School of Biomedical Engineering, Taipei Medical University, Taipei, Taiwan</w:t>
      </w:r>
    </w:p>
    <w:p w:rsidR="0006759D" w:rsidRPr="0006759D" w:rsidRDefault="0006759D" w:rsidP="0006759D">
      <w:pPr>
        <w:jc w:val="center"/>
        <w:rPr>
          <w:sz w:val="21"/>
          <w:szCs w:val="21"/>
          <w:shd w:val="clear" w:color="auto" w:fill="FFFFFF"/>
        </w:rPr>
      </w:pPr>
      <w:r w:rsidRPr="0006759D">
        <w:rPr>
          <w:sz w:val="21"/>
          <w:szCs w:val="21"/>
          <w:shd w:val="clear" w:color="auto" w:fill="FFFFFF"/>
          <w:vertAlign w:val="superscript"/>
        </w:rPr>
        <w:t>3</w:t>
      </w:r>
      <w:r w:rsidRPr="0006759D">
        <w:rPr>
          <w:sz w:val="21"/>
          <w:szCs w:val="21"/>
          <w:shd w:val="clear" w:color="auto" w:fill="FFFFFF"/>
        </w:rPr>
        <w:t xml:space="preserve">Research Center for Applied Sciences, Academia </w:t>
      </w:r>
      <w:proofErr w:type="spellStart"/>
      <w:r w:rsidRPr="0006759D">
        <w:rPr>
          <w:sz w:val="21"/>
          <w:szCs w:val="21"/>
          <w:shd w:val="clear" w:color="auto" w:fill="FFFFFF"/>
        </w:rPr>
        <w:t>Sinica</w:t>
      </w:r>
      <w:proofErr w:type="spellEnd"/>
      <w:r w:rsidRPr="0006759D">
        <w:rPr>
          <w:sz w:val="21"/>
          <w:szCs w:val="21"/>
          <w:shd w:val="clear" w:color="auto" w:fill="FFFFFF"/>
        </w:rPr>
        <w:t>, Taipei, Taiwan</w:t>
      </w:r>
    </w:p>
    <w:p w:rsidR="00CD43C8" w:rsidRDefault="0006759D" w:rsidP="009E1CC0">
      <w:pPr>
        <w:jc w:val="center"/>
        <w:rPr>
          <w:rStyle w:val="a4"/>
          <w:rFonts w:eastAsia="Malgun Gothic"/>
          <w:kern w:val="0"/>
          <w:sz w:val="21"/>
          <w:szCs w:val="21"/>
          <w:lang w:val="de-DE" w:eastAsia="ko-KR"/>
        </w:rPr>
      </w:pPr>
      <w:r>
        <w:rPr>
          <w:kern w:val="0"/>
          <w:sz w:val="21"/>
          <w:szCs w:val="21"/>
          <w:lang w:val="de-DE"/>
        </w:rPr>
        <w:t>*</w:t>
      </w:r>
      <w:r w:rsidR="00CD43C8" w:rsidRPr="000765B3">
        <w:rPr>
          <w:kern w:val="0"/>
          <w:sz w:val="21"/>
          <w:szCs w:val="21"/>
          <w:lang w:val="de-DE"/>
        </w:rPr>
        <w:t xml:space="preserve">E-mail </w:t>
      </w:r>
      <w:hyperlink r:id="rId7" w:history="1">
        <w:r w:rsidRPr="00560E3F">
          <w:rPr>
            <w:rStyle w:val="a4"/>
            <w:rFonts w:eastAsia="Malgun Gothic"/>
            <w:kern w:val="0"/>
            <w:sz w:val="21"/>
            <w:szCs w:val="21"/>
            <w:lang w:val="de-DE" w:eastAsia="ko-KR"/>
          </w:rPr>
          <w:t>ray.yj.fan@tmu.edu.tw</w:t>
        </w:r>
      </w:hyperlink>
    </w:p>
    <w:p w:rsidR="00C97B14" w:rsidRPr="00C97B14" w:rsidRDefault="00C97B14" w:rsidP="009E1CC0">
      <w:pPr>
        <w:jc w:val="center"/>
        <w:rPr>
          <w:rFonts w:eastAsia="Malgun Gothic"/>
          <w:kern w:val="0"/>
          <w:sz w:val="21"/>
          <w:szCs w:val="21"/>
          <w:lang w:val="de-DE" w:eastAsia="ko-KR"/>
        </w:rPr>
      </w:pPr>
    </w:p>
    <w:p w:rsidR="00F31478" w:rsidRDefault="00F31478" w:rsidP="00F31478">
      <w:pPr>
        <w:contextualSpacing/>
        <w:rPr>
          <w:shd w:val="clear" w:color="auto" w:fill="FFFFFF"/>
        </w:rPr>
      </w:pPr>
      <w:r w:rsidRPr="00F31478">
        <w:rPr>
          <w:b/>
          <w:shd w:val="clear" w:color="auto" w:fill="FFFFFF"/>
        </w:rPr>
        <w:t>Abstract</w:t>
      </w:r>
      <w:r>
        <w:rPr>
          <w:shd w:val="clear" w:color="auto" w:fill="FFFFFF"/>
        </w:rPr>
        <w:t>:</w:t>
      </w:r>
    </w:p>
    <w:p w:rsidR="00570BAD" w:rsidRPr="00570BAD" w:rsidRDefault="00570BAD" w:rsidP="00570BAD">
      <w:pPr>
        <w:ind w:firstLineChars="200" w:firstLine="480"/>
        <w:contextualSpacing/>
        <w:rPr>
          <w:shd w:val="clear" w:color="auto" w:fill="FFFFFF"/>
        </w:rPr>
      </w:pPr>
      <w:r w:rsidRPr="00570BAD">
        <w:rPr>
          <w:shd w:val="clear" w:color="auto" w:fill="FFFFFF"/>
        </w:rPr>
        <w:t xml:space="preserve">Epstein-Barr virus (EBV), a member of herpes virus family. EBV can establish distinct latency types (latency 0, I, II, III). Latent membrane protein 1 (LMP1) has been recognized as an oncoprotein. LMP1 was recognized at latency II and III in EBV, which can be used as a prognostic biomarker in nasopharyngeal carcinoma and Hodgkin disease (HD). Therefore, the detection of LMP1 DNA fragments is essential in achieving the early diagnosis of cancer [1]. </w:t>
      </w:r>
    </w:p>
    <w:p w:rsidR="00570BAD" w:rsidRDefault="00570BAD" w:rsidP="00570BAD">
      <w:pPr>
        <w:ind w:firstLineChars="200" w:firstLine="480"/>
        <w:contextualSpacing/>
        <w:rPr>
          <w:shd w:val="clear" w:color="auto" w:fill="FFFFFF"/>
        </w:rPr>
      </w:pPr>
      <w:r w:rsidRPr="00570BAD">
        <w:rPr>
          <w:shd w:val="clear" w:color="auto" w:fill="FFFFFF"/>
        </w:rPr>
        <w:t>For detection of specific fragments of DNA, Polymerase chain reaction (PCR) is a technique widely used to amplify the target DNA. Although microfluidic PCR has the advantage of accelerating the reaction, but it still needs to cooperate with other detection method to confirm the products after reaction. However, immunofluorescence analysis has the advantages of small size, rapid detection, but the cost is relatively high. Therefore, some research groups combined PCR with label-free biosensors [2]. Here, we developed a microfluidic PCR combined with SPR sensor that can integrate DNA replication and detection on the same platform. Compared to traditional PCR machine, microfluidic PCR significantly reduced the volume of reaction chamber, decrease the sample consumption. The device designed by our research group can amplify specific gene fragment at the front-end, and perform the detection at the back-end. It not only can accelerate the PCR reaction speed but also can detect target DNA under the low concentration. In this research, we used real specimens to detect LMP1 DNA in the nasopharyngeal carcinoma patients, the results indicated that LMP1 DNA can be detected under low concentration (10</w:t>
      </w:r>
      <w:r w:rsidRPr="00570BAD">
        <w:rPr>
          <w:rFonts w:ascii="Symbol" w:hAnsi="Symbol"/>
          <w:shd w:val="clear" w:color="auto" w:fill="FFFFFF"/>
        </w:rPr>
        <w:t></w:t>
      </w:r>
      <w:r w:rsidRPr="00570BAD">
        <w:rPr>
          <w:shd w:val="clear" w:color="auto" w:fill="FFFFFF"/>
        </w:rPr>
        <w:t>pg/mL). Based on the above results, we believed that our microfluidic PCR device can detect small amount DNA and create a platform for early diagnosis of nasopharyngeal carcinoma and lymphoma in the future.</w:t>
      </w:r>
      <w:r>
        <w:rPr>
          <w:shd w:val="clear" w:color="auto" w:fill="FFFFFF"/>
        </w:rPr>
        <w:t xml:space="preserve"> </w:t>
      </w:r>
    </w:p>
    <w:p w:rsidR="00570BAD" w:rsidRDefault="00570BAD" w:rsidP="00570BAD">
      <w:pPr>
        <w:ind w:firstLineChars="200" w:firstLine="480"/>
        <w:contextualSpacing/>
        <w:rPr>
          <w:shd w:val="clear" w:color="auto" w:fill="FFFFFF"/>
        </w:rPr>
      </w:pPr>
      <w:r w:rsidRPr="00570BAD">
        <w:rPr>
          <w:shd w:val="clear" w:color="auto" w:fill="FFFFFF"/>
        </w:rPr>
        <w:t xml:space="preserve">To fabricate the device of PCR microfluidic channel and the SPR chip (Figure 1). The microfluidic channel is engraved into an acrylic plate. Another acrylic piece is bonded via hot pressing to complete the microfluidic channel. For the fabrication of SPR chip, the </w:t>
      </w:r>
      <w:proofErr w:type="spellStart"/>
      <w:r w:rsidRPr="00570BAD">
        <w:rPr>
          <w:shd w:val="clear" w:color="auto" w:fill="FFFFFF"/>
        </w:rPr>
        <w:t>nanoslit</w:t>
      </w:r>
      <w:proofErr w:type="spellEnd"/>
      <w:r w:rsidRPr="00570BAD">
        <w:rPr>
          <w:shd w:val="clear" w:color="auto" w:fill="FFFFFF"/>
        </w:rPr>
        <w:t xml:space="preserve"> structures are imprinted on a polycarbonate (PC) film by hot-embossing nanoimprinting </w:t>
      </w:r>
      <w:r w:rsidRPr="00570BAD">
        <w:rPr>
          <w:shd w:val="clear" w:color="auto" w:fill="FFFFFF"/>
        </w:rPr>
        <w:lastRenderedPageBreak/>
        <w:t>lithography. Then, the SPR chip was bond to the microfluidic channel with double-sided tape. Finally, the SPR surface was modified with LMP1 probe.</w:t>
      </w:r>
    </w:p>
    <w:p w:rsidR="00F31478" w:rsidRDefault="00F31478" w:rsidP="00570BAD">
      <w:pPr>
        <w:ind w:firstLineChars="200" w:firstLine="480"/>
        <w:contextualSpacing/>
        <w:rPr>
          <w:shd w:val="clear" w:color="auto" w:fill="FFFFFF"/>
        </w:rPr>
      </w:pPr>
    </w:p>
    <w:p w:rsidR="00A92B39" w:rsidRDefault="00570BAD" w:rsidP="00570BAD">
      <w:pPr>
        <w:contextualSpacing/>
        <w:rPr>
          <w:shd w:val="clear" w:color="auto" w:fill="FFFFFF"/>
        </w:rPr>
      </w:pPr>
      <w:r w:rsidRPr="00570BAD">
        <w:rPr>
          <w:b/>
          <w:shd w:val="clear" w:color="auto" w:fill="FFFFFF"/>
        </w:rPr>
        <w:t>KEYWORDS</w:t>
      </w:r>
      <w:r w:rsidRPr="00570BAD">
        <w:rPr>
          <w:shd w:val="clear" w:color="auto" w:fill="FFFFFF"/>
        </w:rPr>
        <w:t>: Epstein-Barr virus (EBV), polymerase chain reaction, surface plasmon resonance, microfluidics</w:t>
      </w:r>
    </w:p>
    <w:p w:rsidR="00570BAD" w:rsidRDefault="00A952E5" w:rsidP="00570BAD">
      <w:pPr>
        <w:spacing w:line="280" w:lineRule="exact"/>
        <w:rPr>
          <w:rFonts w:eastAsia="Malgun Gothic"/>
          <w:lang w:eastAsia="ko-KR"/>
        </w:rPr>
      </w:pPr>
      <w:r>
        <w:rPr>
          <w:rFonts w:eastAsia="Malgun Gothic"/>
          <w:noProof/>
          <w:lang w:eastAsia="ko-KR"/>
        </w:rPr>
        <w:drawing>
          <wp:anchor distT="0" distB="0" distL="114300" distR="114300" simplePos="0" relativeHeight="251658240" behindDoc="0" locked="0" layoutInCell="1" allowOverlap="1" wp14:anchorId="0DA1DB56">
            <wp:simplePos x="0" y="0"/>
            <wp:positionH relativeFrom="margin">
              <wp:align>left</wp:align>
            </wp:positionH>
            <wp:positionV relativeFrom="paragraph">
              <wp:posOffset>326390</wp:posOffset>
            </wp:positionV>
            <wp:extent cx="4706620" cy="2505710"/>
            <wp:effectExtent l="0" t="0" r="0" b="8890"/>
            <wp:wrapTopAndBottom/>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06620" cy="2505710"/>
                    </a:xfrm>
                    <a:prstGeom prst="rect">
                      <a:avLst/>
                    </a:prstGeom>
                    <a:noFill/>
                  </pic:spPr>
                </pic:pic>
              </a:graphicData>
            </a:graphic>
            <wp14:sizeRelH relativeFrom="page">
              <wp14:pctWidth>0</wp14:pctWidth>
            </wp14:sizeRelH>
            <wp14:sizeRelV relativeFrom="page">
              <wp14:pctHeight>0</wp14:pctHeight>
            </wp14:sizeRelV>
          </wp:anchor>
        </w:drawing>
      </w:r>
    </w:p>
    <w:p w:rsidR="00570BAD" w:rsidRDefault="00570BAD" w:rsidP="00570BAD">
      <w:pPr>
        <w:spacing w:line="280" w:lineRule="exact"/>
        <w:rPr>
          <w:rFonts w:eastAsia="Malgun Gothic"/>
          <w:lang w:eastAsia="ko-KR"/>
        </w:rPr>
      </w:pPr>
    </w:p>
    <w:p w:rsidR="0036373F" w:rsidRDefault="0036373F" w:rsidP="00570BAD">
      <w:pPr>
        <w:spacing w:line="280" w:lineRule="exact"/>
        <w:rPr>
          <w:rFonts w:eastAsia="Malgun Gothic"/>
          <w:lang w:eastAsia="ko-KR"/>
        </w:rPr>
      </w:pPr>
    </w:p>
    <w:p w:rsidR="00570BAD" w:rsidRPr="00A952E5" w:rsidRDefault="00A952E5" w:rsidP="00570BAD">
      <w:pPr>
        <w:spacing w:line="280" w:lineRule="exact"/>
        <w:rPr>
          <w:b/>
        </w:rPr>
      </w:pPr>
      <w:r w:rsidRPr="00A952E5">
        <w:rPr>
          <w:rFonts w:eastAsiaTheme="minorEastAsia"/>
          <w:lang w:eastAsia="zh-TW"/>
        </w:rPr>
        <w:t>G</w:t>
      </w:r>
      <w:r w:rsidRPr="00A952E5">
        <w:rPr>
          <w:rFonts w:eastAsia="Malgun Gothic"/>
          <w:lang w:eastAsia="ko-KR"/>
        </w:rPr>
        <w:t>raphic abstract (not a mandatory requirement</w:t>
      </w:r>
      <w:r w:rsidR="0036373F" w:rsidRPr="00A952E5">
        <w:rPr>
          <w:rFonts w:eastAsia="Malgun Gothic"/>
          <w:lang w:eastAsia="ko-KR"/>
        </w:rPr>
        <w:t>)</w:t>
      </w:r>
      <w:r w:rsidR="00570BAD" w:rsidRPr="00A952E5">
        <w:rPr>
          <w:rFonts w:eastAsia="Malgun Gothic"/>
          <w:lang w:eastAsia="ko-KR"/>
        </w:rPr>
        <w:br/>
      </w:r>
      <w:bookmarkStart w:id="0" w:name="_GoBack"/>
      <w:bookmarkEnd w:id="0"/>
    </w:p>
    <w:p w:rsidR="00570BAD" w:rsidRDefault="00570BAD" w:rsidP="00570BAD">
      <w:pPr>
        <w:pStyle w:val="EndNoteBibliography"/>
        <w:spacing w:line="240" w:lineRule="exact"/>
        <w:jc w:val="both"/>
        <w:rPr>
          <w:sz w:val="22"/>
          <w:szCs w:val="22"/>
        </w:rPr>
      </w:pPr>
      <w:r w:rsidRPr="00570607">
        <w:rPr>
          <w:sz w:val="22"/>
          <w:szCs w:val="22"/>
        </w:rPr>
        <w:t xml:space="preserve">[1] M. A. Epstein, B. G. Achong and Y. M. Barr: Virus particles in cultured lymphoblasts from burkitt's lymphoma. </w:t>
      </w:r>
      <w:r w:rsidRPr="00570607">
        <w:rPr>
          <w:i/>
          <w:sz w:val="22"/>
          <w:szCs w:val="22"/>
        </w:rPr>
        <w:t>Lancet</w:t>
      </w:r>
      <w:r w:rsidRPr="00570607">
        <w:rPr>
          <w:sz w:val="22"/>
          <w:szCs w:val="22"/>
        </w:rPr>
        <w:t xml:space="preserve">, 1(7335), 702-3 (1964) </w:t>
      </w:r>
    </w:p>
    <w:p w:rsidR="00570BAD" w:rsidRPr="00570607" w:rsidRDefault="00570BAD" w:rsidP="00570BAD">
      <w:pPr>
        <w:pStyle w:val="EndNoteBibliography"/>
        <w:spacing w:line="240" w:lineRule="exact"/>
        <w:jc w:val="both"/>
        <w:rPr>
          <w:sz w:val="22"/>
          <w:szCs w:val="22"/>
        </w:rPr>
      </w:pPr>
    </w:p>
    <w:p w:rsidR="00570BAD" w:rsidRPr="00570607" w:rsidRDefault="00570BAD" w:rsidP="00570BAD">
      <w:pPr>
        <w:spacing w:line="240" w:lineRule="exact"/>
        <w:rPr>
          <w:b/>
          <w:sz w:val="22"/>
          <w:szCs w:val="22"/>
        </w:rPr>
      </w:pPr>
      <w:r w:rsidRPr="00570607">
        <w:rPr>
          <w:sz w:val="22"/>
          <w:szCs w:val="22"/>
        </w:rPr>
        <w:t xml:space="preserve">[2] Y. P. Chen, W. N. Zhang, L. Chen, L. L. Tang, Y. P. Mao, W. F. Li, X. Liu, G. Q. Zhou, Y. Sun, T. B. Kang, M. S. Zeng, N. Liu and J. Ma: Effect of latent membrane protein 1 expression on overall survival in Epstein-Barr virus-associated cancers: a literature-based meta-analysis. </w:t>
      </w:r>
      <w:proofErr w:type="spellStart"/>
      <w:r w:rsidRPr="00570607">
        <w:rPr>
          <w:i/>
          <w:sz w:val="22"/>
          <w:szCs w:val="22"/>
        </w:rPr>
        <w:t>Oncotarget</w:t>
      </w:r>
      <w:proofErr w:type="spellEnd"/>
      <w:r w:rsidRPr="00570607">
        <w:rPr>
          <w:sz w:val="22"/>
          <w:szCs w:val="22"/>
        </w:rPr>
        <w:t>, 6(30), 29311-29323 (2015)</w:t>
      </w:r>
    </w:p>
    <w:p w:rsidR="000765B3" w:rsidRPr="00EC20D1" w:rsidRDefault="000765B3" w:rsidP="00570BAD">
      <w:pPr>
        <w:contextualSpacing/>
        <w:rPr>
          <w:rFonts w:eastAsia="Malgun Gothic"/>
          <w:lang w:eastAsia="ko-KR"/>
        </w:rPr>
      </w:pPr>
    </w:p>
    <w:sectPr w:rsidR="000765B3" w:rsidRPr="00EC20D1" w:rsidSect="007D3D1D">
      <w:pgSz w:w="11906" w:h="16838" w:code="9"/>
      <w:pgMar w:top="1361" w:right="1247" w:bottom="1361"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020B" w:rsidRDefault="0004020B">
      <w:r>
        <w:separator/>
      </w:r>
    </w:p>
  </w:endnote>
  <w:endnote w:type="continuationSeparator" w:id="0">
    <w:p w:rsidR="0004020B" w:rsidRDefault="00040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Gulim">
    <w:altName w:val="굴림"/>
    <w:panose1 w:val="020B0600000101010101"/>
    <w:charset w:val="81"/>
    <w:family w:val="swiss"/>
    <w:pitch w:val="variable"/>
    <w:sig w:usb0="B00002AF" w:usb1="69D77CFB" w:usb2="00000030" w:usb3="00000000" w:csb0="0008009F" w:csb1="00000000"/>
  </w:font>
  <w:font w:name="AR MingtiM BIG-5">
    <w:altName w:val="微軟正黑體"/>
    <w:charset w:val="88"/>
    <w:family w:val="modern"/>
    <w:pitch w:val="fixed"/>
    <w:sig w:usb0="00000000" w:usb1="280918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020B" w:rsidRDefault="0004020B">
      <w:r>
        <w:separator/>
      </w:r>
    </w:p>
  </w:footnote>
  <w:footnote w:type="continuationSeparator" w:id="0">
    <w:p w:rsidR="0004020B" w:rsidRDefault="000402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91150"/>
    <w:multiLevelType w:val="multilevel"/>
    <w:tmpl w:val="B082E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574CE6"/>
    <w:multiLevelType w:val="multilevel"/>
    <w:tmpl w:val="D12C0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C96"/>
    <w:rsid w:val="0004020B"/>
    <w:rsid w:val="0006759D"/>
    <w:rsid w:val="000765B3"/>
    <w:rsid w:val="001A6CEF"/>
    <w:rsid w:val="001C6A19"/>
    <w:rsid w:val="00271C3C"/>
    <w:rsid w:val="002929CA"/>
    <w:rsid w:val="00307E4E"/>
    <w:rsid w:val="00343B75"/>
    <w:rsid w:val="00347E49"/>
    <w:rsid w:val="0036373F"/>
    <w:rsid w:val="00385B66"/>
    <w:rsid w:val="00386F3C"/>
    <w:rsid w:val="003B10D5"/>
    <w:rsid w:val="003F444B"/>
    <w:rsid w:val="00451BC2"/>
    <w:rsid w:val="00471997"/>
    <w:rsid w:val="0047255F"/>
    <w:rsid w:val="00475249"/>
    <w:rsid w:val="00485302"/>
    <w:rsid w:val="004F59C3"/>
    <w:rsid w:val="005215AF"/>
    <w:rsid w:val="00570BAD"/>
    <w:rsid w:val="006247F5"/>
    <w:rsid w:val="007B1AAD"/>
    <w:rsid w:val="007D3D1D"/>
    <w:rsid w:val="007F35AA"/>
    <w:rsid w:val="008055BF"/>
    <w:rsid w:val="00830E28"/>
    <w:rsid w:val="00841986"/>
    <w:rsid w:val="0087059C"/>
    <w:rsid w:val="008866A5"/>
    <w:rsid w:val="0089556D"/>
    <w:rsid w:val="0092409F"/>
    <w:rsid w:val="009329E9"/>
    <w:rsid w:val="0095171A"/>
    <w:rsid w:val="009E1CC0"/>
    <w:rsid w:val="00A51397"/>
    <w:rsid w:val="00A5613A"/>
    <w:rsid w:val="00A92B39"/>
    <w:rsid w:val="00A952E5"/>
    <w:rsid w:val="00AC15B9"/>
    <w:rsid w:val="00B92F59"/>
    <w:rsid w:val="00BB3D28"/>
    <w:rsid w:val="00C07161"/>
    <w:rsid w:val="00C24F64"/>
    <w:rsid w:val="00C5799F"/>
    <w:rsid w:val="00C80A07"/>
    <w:rsid w:val="00C97B14"/>
    <w:rsid w:val="00CB642A"/>
    <w:rsid w:val="00CD22F5"/>
    <w:rsid w:val="00CD43C8"/>
    <w:rsid w:val="00DD05B1"/>
    <w:rsid w:val="00DE04B4"/>
    <w:rsid w:val="00E07680"/>
    <w:rsid w:val="00E53080"/>
    <w:rsid w:val="00E53E8B"/>
    <w:rsid w:val="00EC20D1"/>
    <w:rsid w:val="00F1585E"/>
    <w:rsid w:val="00F31478"/>
    <w:rsid w:val="00F35C96"/>
    <w:rsid w:val="00F36FD1"/>
    <w:rsid w:val="00FC3A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AE0FFD"/>
  <w15:chartTrackingRefBased/>
  <w15:docId w15:val="{0E0F3B18-D6EC-4B80-96F4-B9B2FAE6E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imes New Roman" w:hAnsi="Times New Roman"/>
      <w:kern w:val="2"/>
      <w:sz w:val="24"/>
      <w:szCs w:val="24"/>
      <w:lang w:eastAsia="ja-JP"/>
    </w:rPr>
  </w:style>
  <w:style w:type="paragraph" w:styleId="1">
    <w:name w:val="heading 1"/>
    <w:basedOn w:val="a"/>
    <w:next w:val="a"/>
    <w:qFormat/>
    <w:pPr>
      <w:keepNext/>
      <w:outlineLvl w:val="0"/>
    </w:pPr>
    <w:rPr>
      <w:b/>
      <w:kern w:val="0"/>
    </w:rPr>
  </w:style>
  <w:style w:type="paragraph" w:styleId="2">
    <w:name w:val="heading 2"/>
    <w:basedOn w:val="a"/>
    <w:next w:val="a"/>
    <w:qFormat/>
    <w:pPr>
      <w:keepNext/>
      <w:jc w:val="left"/>
      <w:outlineLvl w:val="1"/>
    </w:pPr>
    <w:rPr>
      <w:b/>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Pr>
      <w:b/>
      <w:bCs/>
    </w:rPr>
  </w:style>
  <w:style w:type="paragraph" w:styleId="Web">
    <w:name w:val="Normal (Web)"/>
    <w:basedOn w:val="a"/>
    <w:pPr>
      <w:widowControl/>
      <w:spacing w:before="100" w:beforeAutospacing="1" w:after="100" w:afterAutospacing="1"/>
      <w:jc w:val="left"/>
    </w:pPr>
    <w:rPr>
      <w:rFonts w:ascii="MS PGothic" w:eastAsia="MS PGothic" w:hAnsi="MS PGothic" w:cs="Century"/>
      <w:kern w:val="0"/>
    </w:rPr>
  </w:style>
  <w:style w:type="character" w:styleId="a4">
    <w:name w:val="Hyperlink"/>
    <w:rPr>
      <w:color w:val="0000FF"/>
      <w:u w:val="single"/>
    </w:rPr>
  </w:style>
  <w:style w:type="paragraph" w:styleId="a5">
    <w:name w:val="Body Text"/>
    <w:basedOn w:val="a"/>
    <w:pPr>
      <w:jc w:val="center"/>
    </w:pPr>
    <w:rPr>
      <w:b/>
      <w:kern w:val="0"/>
      <w:sz w:val="28"/>
    </w:rPr>
  </w:style>
  <w:style w:type="paragraph" w:styleId="a6">
    <w:name w:val="header"/>
    <w:basedOn w:val="a"/>
    <w:rsid w:val="00F35C96"/>
    <w:pPr>
      <w:tabs>
        <w:tab w:val="center" w:pos="4153"/>
        <w:tab w:val="right" w:pos="8306"/>
      </w:tabs>
      <w:snapToGrid w:val="0"/>
    </w:pPr>
    <w:rPr>
      <w:sz w:val="20"/>
      <w:szCs w:val="20"/>
    </w:rPr>
  </w:style>
  <w:style w:type="paragraph" w:styleId="a7">
    <w:name w:val="footer"/>
    <w:basedOn w:val="a"/>
    <w:rsid w:val="00F35C96"/>
    <w:pPr>
      <w:tabs>
        <w:tab w:val="center" w:pos="4153"/>
        <w:tab w:val="right" w:pos="8306"/>
      </w:tabs>
      <w:snapToGrid w:val="0"/>
    </w:pPr>
    <w:rPr>
      <w:sz w:val="20"/>
      <w:szCs w:val="20"/>
    </w:rPr>
  </w:style>
  <w:style w:type="paragraph" w:customStyle="1" w:styleId="Address">
    <w:name w:val="Address"/>
    <w:basedOn w:val="a"/>
    <w:rsid w:val="00F35C96"/>
    <w:pPr>
      <w:widowControl/>
      <w:jc w:val="center"/>
    </w:pPr>
    <w:rPr>
      <w:rFonts w:eastAsia="Batang"/>
      <w:kern w:val="0"/>
      <w:sz w:val="16"/>
      <w:szCs w:val="16"/>
      <w:lang w:eastAsia="ko-KR"/>
    </w:rPr>
  </w:style>
  <w:style w:type="paragraph" w:customStyle="1" w:styleId="Reference">
    <w:name w:val="Reference"/>
    <w:basedOn w:val="a"/>
    <w:next w:val="a"/>
    <w:rsid w:val="00347E49"/>
    <w:pPr>
      <w:widowControl/>
      <w:tabs>
        <w:tab w:val="left" w:pos="284"/>
      </w:tabs>
      <w:adjustRightInd w:val="0"/>
      <w:snapToGrid w:val="0"/>
      <w:spacing w:line="220" w:lineRule="exact"/>
    </w:pPr>
    <w:rPr>
      <w:rFonts w:eastAsia="標楷體"/>
      <w:color w:val="000000"/>
      <w:kern w:val="0"/>
      <w:sz w:val="20"/>
      <w:szCs w:val="20"/>
      <w:lang w:val="en-GB" w:eastAsia="zh-TW"/>
    </w:rPr>
  </w:style>
  <w:style w:type="paragraph" w:customStyle="1" w:styleId="Default">
    <w:name w:val="Default"/>
    <w:rsid w:val="007D3D1D"/>
    <w:pPr>
      <w:widowControl w:val="0"/>
      <w:autoSpaceDE w:val="0"/>
      <w:autoSpaceDN w:val="0"/>
      <w:adjustRightInd w:val="0"/>
    </w:pPr>
    <w:rPr>
      <w:rFonts w:ascii="Times New Roman" w:eastAsia="新細明體" w:hAnsi="Times New Roman"/>
      <w:color w:val="000000"/>
      <w:sz w:val="24"/>
      <w:szCs w:val="24"/>
    </w:rPr>
  </w:style>
  <w:style w:type="paragraph" w:customStyle="1" w:styleId="a8">
    <w:name w:val="바탕글"/>
    <w:basedOn w:val="a"/>
    <w:rsid w:val="009E1CC0"/>
    <w:pPr>
      <w:shd w:val="clear" w:color="auto" w:fill="FFFFFF"/>
      <w:wordWrap w:val="0"/>
      <w:autoSpaceDE w:val="0"/>
      <w:autoSpaceDN w:val="0"/>
      <w:snapToGrid w:val="0"/>
      <w:spacing w:line="384" w:lineRule="auto"/>
      <w:textAlignment w:val="baseline"/>
    </w:pPr>
    <w:rPr>
      <w:rFonts w:ascii="Gulim" w:eastAsia="Gulim" w:hAnsi="Gulim" w:cs="Gulim"/>
      <w:color w:val="000000"/>
      <w:kern w:val="0"/>
      <w:sz w:val="20"/>
      <w:szCs w:val="20"/>
      <w:lang w:eastAsia="ko-KR"/>
    </w:rPr>
  </w:style>
  <w:style w:type="character" w:styleId="a9">
    <w:name w:val="Unresolved Mention"/>
    <w:uiPriority w:val="99"/>
    <w:semiHidden/>
    <w:unhideWhenUsed/>
    <w:rsid w:val="0006759D"/>
    <w:rPr>
      <w:color w:val="605E5C"/>
      <w:shd w:val="clear" w:color="auto" w:fill="E1DFDD"/>
    </w:rPr>
  </w:style>
  <w:style w:type="paragraph" w:customStyle="1" w:styleId="EndNoteBibliography">
    <w:name w:val="EndNote Bibliography"/>
    <w:basedOn w:val="a"/>
    <w:link w:val="EndNoteBibliography0"/>
    <w:rsid w:val="00570BAD"/>
    <w:pPr>
      <w:widowControl/>
      <w:jc w:val="left"/>
    </w:pPr>
    <w:rPr>
      <w:rFonts w:eastAsia="新細明體"/>
      <w:noProof/>
      <w:kern w:val="0"/>
      <w:sz w:val="20"/>
      <w:lang w:eastAsia="zh-TW"/>
    </w:rPr>
  </w:style>
  <w:style w:type="character" w:customStyle="1" w:styleId="EndNoteBibliography0">
    <w:name w:val="EndNote Bibliography 字元"/>
    <w:link w:val="EndNoteBibliography"/>
    <w:rsid w:val="00570BAD"/>
    <w:rPr>
      <w:rFonts w:ascii="Times New Roman" w:eastAsia="新細明體" w:hAnsi="Times New Roman"/>
      <w:noProo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735589">
      <w:bodyDiv w:val="1"/>
      <w:marLeft w:val="0"/>
      <w:marRight w:val="0"/>
      <w:marTop w:val="0"/>
      <w:marBottom w:val="0"/>
      <w:divBdr>
        <w:top w:val="none" w:sz="0" w:space="0" w:color="auto"/>
        <w:left w:val="none" w:sz="0" w:space="0" w:color="auto"/>
        <w:bottom w:val="none" w:sz="0" w:space="0" w:color="auto"/>
        <w:right w:val="none" w:sz="0" w:space="0" w:color="auto"/>
      </w:divBdr>
    </w:div>
    <w:div w:id="1103261966">
      <w:bodyDiv w:val="1"/>
      <w:marLeft w:val="0"/>
      <w:marRight w:val="0"/>
      <w:marTop w:val="0"/>
      <w:marBottom w:val="0"/>
      <w:divBdr>
        <w:top w:val="none" w:sz="0" w:space="0" w:color="auto"/>
        <w:left w:val="none" w:sz="0" w:space="0" w:color="auto"/>
        <w:bottom w:val="none" w:sz="0" w:space="0" w:color="auto"/>
        <w:right w:val="none" w:sz="0" w:space="0" w:color="auto"/>
      </w:divBdr>
    </w:div>
    <w:div w:id="1418165989">
      <w:bodyDiv w:val="1"/>
      <w:marLeft w:val="0"/>
      <w:marRight w:val="0"/>
      <w:marTop w:val="0"/>
      <w:marBottom w:val="0"/>
      <w:divBdr>
        <w:top w:val="none" w:sz="0" w:space="0" w:color="auto"/>
        <w:left w:val="none" w:sz="0" w:space="0" w:color="auto"/>
        <w:bottom w:val="none" w:sz="0" w:space="0" w:color="auto"/>
        <w:right w:val="none" w:sz="0" w:space="0" w:color="auto"/>
      </w:divBdr>
    </w:div>
    <w:div w:id="158919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ray.yj.fan@tmu.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3169</Characters>
  <Application>Microsoft Office Word</Application>
  <DocSecurity>0</DocSecurity>
  <Lines>26</Lines>
  <Paragraphs>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Call for Papers</vt:lpstr>
      <vt:lpstr>Call for Papers</vt:lpstr>
    </vt:vector>
  </TitlesOfParts>
  <Company>OECU</Company>
  <LinksUpToDate>false</LinksUpToDate>
  <CharactersWithSpaces>3717</CharactersWithSpaces>
  <SharedDoc>false</SharedDoc>
  <HLinks>
    <vt:vector size="6" baseType="variant">
      <vt:variant>
        <vt:i4>6356994</vt:i4>
      </vt:variant>
      <vt:variant>
        <vt:i4>0</vt:i4>
      </vt:variant>
      <vt:variant>
        <vt:i4>0</vt:i4>
      </vt:variant>
      <vt:variant>
        <vt:i4>5</vt:i4>
      </vt:variant>
      <vt:variant>
        <vt:lpwstr>mailto:ray.yj.fan@tmu.edu.tw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Papers</dc:title>
  <dc:subject/>
  <dc:creator>Yasue</dc:creator>
  <cp:keywords/>
  <cp:lastModifiedBy>USER</cp:lastModifiedBy>
  <cp:revision>2</cp:revision>
  <cp:lastPrinted>2005-03-09T01:46:00Z</cp:lastPrinted>
  <dcterms:created xsi:type="dcterms:W3CDTF">2023-02-13T07:11:00Z</dcterms:created>
  <dcterms:modified xsi:type="dcterms:W3CDTF">2023-02-13T07:11:00Z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d300a6f8588f41a7edad947eec5eb0d3c3efb0cabf8fafccf5b79403178eadd8</vt:lpwstr>
  </property>
</Properties>
</file>